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AD" w:rsidRPr="003841AD" w:rsidRDefault="003841AD" w:rsidP="003841AD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r w:rsidRPr="003841A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Перечень и порядок выполнения мероприятий, необходимых для осуществления технологического присоединения </w:t>
      </w:r>
      <w:bookmarkEnd w:id="0"/>
      <w:r w:rsidRPr="003841A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 электрическим сетям для физических лиц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Технологическое присоединение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"Об электроэнергетике" (№ 35-ФЗ от 26.03.2003г.) в порядке, определенном «Правилами технологического присоединения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N 861 (далее Правила).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присоединение осуществляется на основании договора, заключаемого между сетевой организацией и заявителем (физическим, юридическим лицом, индивидуальным предпринимателем). Срок технологического присоединения в договоре устанавливается в соответствии с Правилами.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Правилами установлена следующая процедура технологического присоединения (п.7 Правил):</w:t>
      </w:r>
    </w:p>
    <w:p w:rsidR="003841AD" w:rsidRPr="003841AD" w:rsidRDefault="003841AD" w:rsidP="003841AD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о намерении осуществить технологическое присоединение, и увеличение объема максимальной мощности, а также изменить категорию надежности электроснабжения, точки присоединения, вида производственной деятельности, не влекущие пересмотр (увеличение) величины максимальной мощности, но изменяющие схему внешнего электроснабжения таких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заявителя;</w:t>
      </w:r>
    </w:p>
    <w:p w:rsidR="003841AD" w:rsidRPr="003841AD" w:rsidRDefault="003841AD" w:rsidP="003841AD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договора;</w:t>
      </w:r>
    </w:p>
    <w:p w:rsidR="003841AD" w:rsidRPr="003841AD" w:rsidRDefault="003841AD" w:rsidP="003841AD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сторонами договора мероприятий, предусмотренных договором;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объектов: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заявителей, подавших заявку в целях временного технологического присоединения;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физических лиц - до 15 кВт (с учетом ранее присоединенной мощности), для бытовых и иных нужд, не связанных с предпринимательской деятельностью, по третьей категории надежности (одному источнику электроснабжения);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юр. лиц и индивидуальных предпринимателей в соответствии с категорией заявителей, определенных в п. 7 г) Правил.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14(2) Правил).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технологическому присоединению включают в себя (п.18 Правил):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930"/>
      <w:bookmarkEnd w:id="1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проверку выполнения заявителем и сетевой организацией технических условий в соответствии с </w:t>
      </w:r>
      <w:hyperlink r:id="rId5" w:anchor="P1368" w:history="1">
        <w:r w:rsidRPr="003841AD">
          <w:rPr>
            <w:rFonts w:ascii="Times New Roman" w:eastAsia="Times New Roman" w:hAnsi="Times New Roman" w:cs="Times New Roman"/>
            <w:color w:val="182D88"/>
            <w:sz w:val="24"/>
            <w:szCs w:val="24"/>
            <w:u w:val="single"/>
            <w:lang w:eastAsia="ru-RU"/>
          </w:rPr>
          <w:t>разделом IX</w:t>
        </w:r>
      </w:hyperlink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 </w:t>
      </w:r>
      <w:hyperlink r:id="rId6" w:history="1">
        <w:r w:rsidRPr="003841AD">
          <w:rPr>
            <w:rFonts w:ascii="Times New Roman" w:eastAsia="Times New Roman" w:hAnsi="Times New Roman" w:cs="Times New Roman"/>
            <w:color w:val="182D88"/>
            <w:sz w:val="24"/>
            <w:szCs w:val="24"/>
            <w:u w:val="single"/>
            <w:lang w:eastAsia="ru-RU"/>
          </w:rPr>
          <w:t>порядке</w:t>
        </w:r>
      </w:hyperlink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Основными положениями функционирования розничных рынков электрической энергии</w:t>
      </w:r>
      <w:bookmarkStart w:id="2" w:name="_ftnref1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"http://tp.mrsk-cp.ru/steps/the_list_and_the_order_of_events_for_individuals/" \l "_ftn1" \o "" </w:instrText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841AD">
        <w:rPr>
          <w:rFonts w:ascii="Times New Roman" w:eastAsia="Times New Roman" w:hAnsi="Times New Roman" w:cs="Times New Roman"/>
          <w:color w:val="182D88"/>
          <w:sz w:val="24"/>
          <w:szCs w:val="24"/>
          <w:u w:val="single"/>
          <w:lang w:eastAsia="ru-RU"/>
        </w:rPr>
        <w:t>[1]</w:t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 </w:t>
      </w:r>
      <w:hyperlink r:id="rId7" w:history="1">
        <w:r w:rsidRPr="003841AD">
          <w:rPr>
            <w:rFonts w:ascii="Times New Roman" w:eastAsia="Times New Roman" w:hAnsi="Times New Roman" w:cs="Times New Roman"/>
            <w:color w:val="182D88"/>
            <w:sz w:val="24"/>
            <w:szCs w:val="24"/>
            <w:u w:val="single"/>
            <w:lang w:eastAsia="ru-RU"/>
          </w:rPr>
          <w:t>разделом X</w:t>
        </w:r>
      </w:hyperlink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 </w:t>
      </w:r>
      <w:hyperlink r:id="rId8" w:history="1">
        <w:r w:rsidRPr="003841AD">
          <w:rPr>
            <w:rFonts w:ascii="Times New Roman" w:eastAsia="Times New Roman" w:hAnsi="Times New Roman" w:cs="Times New Roman"/>
            <w:color w:val="182D88"/>
            <w:sz w:val="24"/>
            <w:szCs w:val="24"/>
            <w:u w:val="single"/>
            <w:lang w:eastAsia="ru-RU"/>
          </w:rPr>
          <w:t>Основными положениями</w:t>
        </w:r>
      </w:hyperlink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функционирования розничных рынков электрической энергии. Сетевая организация несет перед заявителем ответственность за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неприглашение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процедуру допуска прибора учета электрической энергии в эксплуатацию указанных в настоящем </w:t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подпункте субъектов розничных рынков в сроки и в порядке, которые предусмотрены </w:t>
      </w:r>
      <w:hyperlink r:id="rId9" w:history="1">
        <w:r w:rsidRPr="003841AD">
          <w:rPr>
            <w:rFonts w:ascii="Times New Roman" w:eastAsia="Times New Roman" w:hAnsi="Times New Roman" w:cs="Times New Roman"/>
            <w:color w:val="182D88"/>
            <w:sz w:val="24"/>
            <w:szCs w:val="24"/>
            <w:u w:val="single"/>
            <w:lang w:eastAsia="ru-RU"/>
          </w:rPr>
          <w:t>разделом X</w:t>
        </w:r>
      </w:hyperlink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безучетного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потребления электрической энергии в отношении соответствующих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устройств.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осмотр (обследование) присоединяемых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согласованию с таким субъектом оперативно-диспетчерского управления (за исключением заявителей: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физических лиц, подавших заявку в целях технологического присоединения </w:t>
      </w:r>
      <w:proofErr w:type="spellStart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присоединения) которые используются для бытовых нужд и иных нужд, не связанных с осуществлением предпринимательской деятельности и электроснабжение которых по одному источнику, а также заявителей суммарная максимальная мощность которых не превышает 150 кВт с номинальным напряжением до 1000 В по одному источнику электроснабжения;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физ. лиц, подавших заявку на временное присоединение: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юр. лиц и индивидуальных предпринимателей в соответствии с п.18 е) Правил).</w:t>
      </w:r>
    </w:p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выдачей заявителю акта осмотра электроустановки по форме, утверждаемой органом федерального государственного энергетического надзора;</w:t>
      </w:r>
    </w:p>
    <w:p w:rsidR="003841AD" w:rsidRPr="003841AD" w:rsidRDefault="003841AD" w:rsidP="00384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</w:r>
    </w:p>
    <w:p w:rsidR="003841AD" w:rsidRPr="003841AD" w:rsidRDefault="003841AD" w:rsidP="0038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841AD" w:rsidRPr="003841AD" w:rsidRDefault="003841AD" w:rsidP="0038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3" w:name="_ftn1"/>
    <w:p w:rsidR="003841AD" w:rsidRPr="003841AD" w:rsidRDefault="003841AD" w:rsidP="003841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"http://tp.mrsk-cp.ru/steps/the_list_and_the_order_of_events_for_individuals/" \l "_ftnref1" \o "" </w:instrText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841AD">
        <w:rPr>
          <w:rFonts w:ascii="Times New Roman" w:eastAsia="Times New Roman" w:hAnsi="Times New Roman" w:cs="Times New Roman"/>
          <w:color w:val="182D88"/>
          <w:sz w:val="24"/>
          <w:szCs w:val="24"/>
          <w:u w:val="single"/>
          <w:lang w:eastAsia="ru-RU"/>
        </w:rPr>
        <w:t>[1]</w:t>
      </w:r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38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 Правительства Российской Федерации от 4 мая 2012 года № 442 «О функционировании розничных рынков электрической энергии, полном и(или) частичном ограничении режима потребления электрической энергии».</w:t>
      </w:r>
    </w:p>
    <w:p w:rsidR="00244411" w:rsidRPr="003841AD" w:rsidRDefault="00244411">
      <w:pPr>
        <w:rPr>
          <w:rFonts w:ascii="Times New Roman" w:hAnsi="Times New Roman" w:cs="Times New Roman"/>
          <w:sz w:val="24"/>
          <w:szCs w:val="24"/>
        </w:rPr>
      </w:pPr>
    </w:p>
    <w:sectPr w:rsidR="00244411" w:rsidRPr="0038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44E68"/>
    <w:multiLevelType w:val="hybridMultilevel"/>
    <w:tmpl w:val="1FC6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F"/>
    <w:rsid w:val="001E3D0F"/>
    <w:rsid w:val="00244411"/>
    <w:rsid w:val="003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9808"/>
  <w15:chartTrackingRefBased/>
  <w15:docId w15:val="{AE9CAFFC-1D21-40C2-A70B-1C31FF9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1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1FC20FDDA87DF579312C6E3D20DB8626658A90A209A4B0EB6C07A6E0F84F9EE61C552340BAD433G1N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1FC20FDDA87DF579312C6E3D20DB8626658A90A209A4B0EB6C07A6E0F84F9EE61C552340BAD331G1N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1FC20FDDA87DF579312C6E3D20DB8626658A90A209A4B0EB6C07A6E0F84F9EE61C552340BADC30G1N7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p.mrsk-cp.ru/steps/the_list_and_the_order_of_events_for_individual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1FC20FDDA87DF579312C6E3D20DB8626658A90A209A4B0EB6C07A6E0F84F9EE61C552340BAD331G1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2019-04-22T04:16:00Z</dcterms:created>
  <dcterms:modified xsi:type="dcterms:W3CDTF">2019-04-22T04:19:00Z</dcterms:modified>
</cp:coreProperties>
</file>